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85C28"/>
          <w:sz w:val="19"/>
        </w:rPr>
        <w:t>MODIFIABLE REQUEST FOR PROPOSALS (RFP) TEMPLATE  |  VNA-RFP-022</w:t>
      </w:r>
    </w:p>
    <w:p>
      <w:pPr>
        <w:pStyle w:val="Heading1"/>
      </w:pPr>
      <w:r>
        <w:rPr>
          <w:color w:val="281F16"/>
        </w:rPr>
        <w:t>Request for Proposals (RFP): HIPAA-Compliant Healthcare on GCP, Private Concierge Telehealth &amp; FDA 21 CFR Part 11 LIMS Portals</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B85C28"/>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D2218"/>
          </w:tcPr>
          <w:p>
            <w:r>
              <w:rPr>
                <w:b/>
                <w:color w:val="FFFFFF"/>
                <w:sz w:val="19"/>
              </w:rPr>
              <w:t>Procurement Milestone / Field</w:t>
            </w:r>
          </w:p>
        </w:tc>
        <w:tc>
          <w:tcPr>
            <w:tcW w:type="dxa" w:w="5040"/>
            <w:shd w:val="clear" w:color="auto" w:fill="2D2218"/>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VNA-RFP-022 (Companion to Solution Brief VNA-SB-022)</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Fragmented Telehealth SaaS Tools, Consumer RPM Bluetooth Devices, Paper/Desktop LIMS &amp; Siloed EHR Portals environment to HIPAA-Compliant GCP Stack (Flutter, Cloud Run, Cloud SQL Postgres, Identity Platform MFA, Vertex AI, Dual-Cloud OCI FHIR Backup) + OCI/APEX 21 CFR Part 11 LIMS.</w:t>
      </w:r>
    </w:p>
    <w:p>
      <w:pPr>
        <w:pStyle w:val="ListBullet"/>
      </w:pPr>
      <w:r>
        <w:t>Off-the-Shelf Telehealth SaaS Traps &amp; Per-Provider Fees: Commercial telehealth platforms charge steep per-clinician or per-visit fees, lock patient engagement workflows into rigid templates, and scatter PHI across multiple third-party vendors without a unified longitudinal health record.</w:t>
      </w:r>
    </w:p>
    <w:p>
      <w:pPr>
        <w:pStyle w:val="ListBullet"/>
      </w:pPr>
      <w:r>
        <w:t>Consumer RPM Bluetooth Pairing Failures &amp; Nurse Alert Fatigue: Older adults in residential or retirement communities struggle to pair Bluetooth blood pressure cuffs and scales to smartphones, while nurses drown in unprioritized raw device readings instead of working by exception.</w:t>
      </w:r>
    </w:p>
    <w:p>
      <w:pPr>
        <w:pStyle w:val="ListBullet"/>
      </w:pPr>
      <w:r>
        <w:t>Strict HIPAA Security, Marketing Pixel Rules &amp; FDA Part 11 Validation: Healthcare operators must enforce Google Cloud / OCI Business Associate Agreements (BAAs), keep third-party ad pixels completely off authenticated health pages (per HHS OCR tracking guidance), prevent unreviewed AI hallucinations from reaching patients, and satisfy FDA 21 CFR Part 11 electronic signature and audit trail mandates for laboratory and diagnostic portals.</w:t>
      </w:r>
    </w:p>
    <w:p>
      <w:pPr>
        <w:pStyle w:val="Heading2"/>
      </w:pPr>
      <w:r>
        <w:rPr>
          <w:color w:val="B85C28"/>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B85C28"/>
          </w:tcPr>
          <w:p>
            <w:r>
              <w:rPr>
                <w:b/>
                <w:color w:val="FFFFFF"/>
                <w:sz w:val="19"/>
              </w:rPr>
              <w:t>Inventory Dimension</w:t>
            </w:r>
          </w:p>
        </w:tc>
        <w:tc>
          <w:tcPr>
            <w:tcW w:type="dxa" w:w="3360"/>
            <w:shd w:val="clear" w:color="auto" w:fill="B85C28"/>
          </w:tcPr>
          <w:p>
            <w:r>
              <w:rPr>
                <w:b/>
                <w:color w:val="FFFFFF"/>
                <w:sz w:val="19"/>
              </w:rPr>
              <w:t>Current Baseline Footprint (Editable)</w:t>
            </w:r>
          </w:p>
        </w:tc>
        <w:tc>
          <w:tcPr>
            <w:tcW w:type="dxa" w:w="3360"/>
            <w:shd w:val="clear" w:color="auto" w:fill="B85C28"/>
          </w:tcPr>
          <w:p>
            <w:r>
              <w:rPr>
                <w:b/>
                <w:color w:val="FFFFFF"/>
                <w:sz w:val="19"/>
              </w:rPr>
              <w:t>Target Modernization SLA / Objective</w:t>
            </w:r>
          </w:p>
        </w:tc>
      </w:tr>
      <w:tr>
        <w:tc>
          <w:tcPr>
            <w:tcW w:type="dxa" w:w="3360"/>
          </w:tcPr>
          <w:p>
            <w:r>
              <w:rPr>
                <w:b/>
              </w:rPr>
              <w:t>Legacy Source Stack (Stack X)</w:t>
            </w:r>
          </w:p>
        </w:tc>
        <w:tc>
          <w:tcPr>
            <w:tcW w:type="dxa" w:w="3360"/>
          </w:tcPr>
          <w:p>
            <w:r>
              <w:t>Fragmented Telehealth SaaS Tools, Consumer RPM Bluetooth Devices, Paper/Desktop LIMS &amp; Siloed EHR Portals</w:t>
            </w:r>
          </w:p>
        </w:tc>
        <w:tc>
          <w:tcPr>
            <w:tcW w:type="dxa" w:w="3360"/>
          </w:tcPr>
          <w:p>
            <w:r>
              <w:t>Full retirement / modernization</w:t>
            </w:r>
          </w:p>
        </w:tc>
      </w:tr>
      <w:tr>
        <w:tc>
          <w:tcPr>
            <w:tcW w:type="dxa" w:w="3360"/>
          </w:tcPr>
          <w:p>
            <w:r>
              <w:rPr>
                <w:b/>
              </w:rPr>
              <w:t>Target Architecture (Stack Y)</w:t>
            </w:r>
          </w:p>
        </w:tc>
        <w:tc>
          <w:tcPr>
            <w:tcW w:type="dxa" w:w="3360"/>
          </w:tcPr>
          <w:p>
            <w:r>
              <w:t>HIPAA-Compliant GCP Stack (Flutter, Cloud Run, Cloud SQL Postgres, Identity Platform MFA, Vertex AI, Dual-Cloud OCI FHIR Backup) + OCI/APEX 21 CFR Part 11 LIMS</w:t>
            </w:r>
          </w:p>
        </w:tc>
        <w:tc>
          <w:tcPr>
            <w:tcW w:type="dxa" w:w="3360"/>
          </w:tcPr>
          <w:p>
            <w:r>
              <w:t>Production HA/DR &amp; security governance</w:t>
            </w:r>
          </w:p>
        </w:tc>
      </w:tr>
      <w:tr>
        <w:tc>
          <w:tcPr>
            <w:tcW w:type="dxa" w:w="3360"/>
          </w:tcPr>
          <w:p>
            <w:r>
              <w:rPr>
                <w:b/>
              </w:rPr>
              <w:t>Enrolled Telehealth / RPM Members or Active Lab Users</w:t>
            </w:r>
          </w:p>
        </w:tc>
        <w:tc>
          <w:tcPr>
            <w:tcW w:type="dxa" w:w="3360"/>
          </w:tcPr>
          <w:p>
            <w:r>
              <w:t>[Insert Count, e.g., 2500 members/users]</w:t>
            </w:r>
          </w:p>
        </w:tc>
        <w:tc>
          <w:tcPr>
            <w:tcW w:type="dxa" w:w="3360"/>
          </w:tcPr>
          <w:p>
            <w:r>
              <w:t>100% functional parity &amp; optimization</w:t>
            </w:r>
          </w:p>
        </w:tc>
      </w:tr>
      <w:tr>
        <w:tc>
          <w:tcPr>
            <w:tcW w:type="dxa" w:w="3360"/>
          </w:tcPr>
          <w:p>
            <w:r>
              <w:rPr>
                <w:b/>
              </w:rPr>
              <w:t>Connected RPM Device Models, Assays or Clinical Workflows</w:t>
            </w:r>
          </w:p>
        </w:tc>
        <w:tc>
          <w:tcPr>
            <w:tcW w:type="dxa" w:w="3360"/>
          </w:tcPr>
          <w:p>
            <w:r>
              <w:t>[Insert Count, e.g., 24 workflows]</w:t>
            </w:r>
          </w:p>
        </w:tc>
        <w:tc>
          <w:tcPr>
            <w:tcW w:type="dxa" w:w="3360"/>
          </w:tcPr>
          <w:p>
            <w:r>
              <w:t>Automated AST &amp; schema uplift</w:t>
            </w:r>
          </w:p>
        </w:tc>
      </w:tr>
      <w:tr>
        <w:tc>
          <w:tcPr>
            <w:tcW w:type="dxa" w:w="3360"/>
          </w:tcPr>
          <w:p>
            <w:r>
              <w:rPr>
                <w:b/>
              </w:rPr>
              <w:t>Residential Communities, Clinics or Lab Tenant Sites</w:t>
            </w:r>
          </w:p>
        </w:tc>
        <w:tc>
          <w:tcPr>
            <w:tcW w:type="dxa" w:w="3360"/>
          </w:tcPr>
          <w:p>
            <w:r>
              <w:t>[Insert Count, e.g., 18 communities/sites]</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B85C28"/>
        </w:rPr>
        <w:t>Section 3: Mandatory Technical Scope of Work &amp; Conversion Matrix</w:t>
      </w:r>
    </w:p>
    <w:p>
      <w:pPr>
        <w:pStyle w:val="ListNumber"/>
      </w:pPr>
      <w:r>
        <w:rPr>
          <w:b/>
        </w:rPr>
        <w:t xml:space="preserve">[REQ-ARCH-01] </w:t>
      </w:r>
      <w:r>
        <w:t>HIPAA-Compliant GCP Telehealth &amp; Concierge Care Stack: Built on a single Flutter codebase (iOS, Android, and Web on Firebase Hosting) backed by stateless Google Cloud Run microservices behind clean Vendor Adapter interfaces, Google Cloud Identity Platform with MFA, and Cloud SQL for PostgreSQL as the encrypted ACID system of record (with Cloud Firestore reserved strictly for real-time triage queue presence and live chat state).</w:t>
      </w:r>
    </w:p>
    <w:p>
      <w:pPr>
        <w:pStyle w:val="ListNumber"/>
      </w:pPr>
      <w:r>
        <w:rPr>
          <w:b/>
        </w:rPr>
        <w:t xml:space="preserve">[REQ-ARCH-02] </w:t>
      </w:r>
      <w:r>
        <w:t>3-Lane Concierge Nurse Work-by-Exception Queue &amp; Pre-Assigned Cellular RPM: Pre-assigned cellular RPM devices (blood pressure monitors, weight scales, glucometers, pulse oximeters) ship ready to use out of the box with zero Wi-Fi or Bluetooth pairing. Readings flow through a Vendor Adapter into a rules-first threshold engine that sorts members into a 3-Lane Nurse Triage Queue: (1) Needs Attention, (2) Not Reporting Readings, and (3) All Good.</w:t>
      </w:r>
    </w:p>
    <w:p>
      <w:pPr>
        <w:pStyle w:val="ListNumber"/>
      </w:pPr>
      <w:r>
        <w:rPr>
          <w:b/>
        </w:rPr>
        <w:t xml:space="preserve">[REQ-ARCH-03] </w:t>
      </w:r>
      <w:r>
        <w:t>Clinician-in-the-Loop Vertex AI (Zero Unreviewed AI to Patients) &amp; Family 'Circle' Permissions: Vertex AI (Gemini under GCP BAA with zero customer data training) drafts weekly vital-trend summaries and triage prep notes, but a licensed nurse must review and click Approve before any summary is visible to the member or their member-authorized Family/Neighbor 'Circle.'</w:t>
      </w:r>
    </w:p>
    <w:p>
      <w:pPr>
        <w:pStyle w:val="ListNumber"/>
      </w:pPr>
      <w:r>
        <w:rPr>
          <w:b/>
        </w:rPr>
        <w:t xml:space="preserve">[REQ-ARCH-04] </w:t>
      </w:r>
      <w:r>
        <w:t>Cross-Cloud FHIR Exit Portability (GCP -&gt; OCI Object Storage) &amp; Validated LIMS on OCI/APEX: Nightly encrypted PostgreSQL backups and standardized HL7 FHIR R4 patient bundles replicate to Oracle Cloud Infrastructure (OCI) Object Storage under dual BAAs for ransomware resilience. For laboratory and diagnostic device manufacturers, we pair Oracle APEX 24.2, Viscosity AMP, Virtual Private Database (VPD), and `utPLSQL` TDD pipelines to deliver FDA 21 CFR Part 11 and ISO-17025 compliant LIMS portals.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D2218"/>
          </w:tcPr>
          <w:p>
            <w:r>
              <w:rPr>
                <w:b/>
                <w:color w:val="FFFFFF"/>
                <w:sz w:val="19"/>
              </w:rPr>
              <w:t>Req ID</w:t>
            </w:r>
          </w:p>
        </w:tc>
        <w:tc>
          <w:tcPr>
            <w:tcW w:type="dxa" w:w="2520"/>
            <w:shd w:val="clear" w:color="auto" w:fill="2D2218"/>
          </w:tcPr>
          <w:p>
            <w:r>
              <w:rPr>
                <w:b/>
                <w:color w:val="FFFFFF"/>
                <w:sz w:val="19"/>
              </w:rPr>
              <w:t>Legacy Artifact / Baseline Workload</w:t>
            </w:r>
          </w:p>
        </w:tc>
        <w:tc>
          <w:tcPr>
            <w:tcW w:type="dxa" w:w="2520"/>
            <w:shd w:val="clear" w:color="auto" w:fill="2D2218"/>
          </w:tcPr>
          <w:p>
            <w:r>
              <w:rPr>
                <w:b/>
                <w:color w:val="FFFFFF"/>
                <w:sz w:val="19"/>
              </w:rPr>
              <w:t>Required Target Architecture</w:t>
            </w:r>
          </w:p>
        </w:tc>
        <w:tc>
          <w:tcPr>
            <w:tcW w:type="dxa" w:w="2520"/>
            <w:shd w:val="clear" w:color="auto" w:fill="2D2218"/>
          </w:tcPr>
          <w:p>
            <w:r>
              <w:rPr>
                <w:b/>
                <w:color w:val="FFFFFF"/>
                <w:sz w:val="19"/>
              </w:rPr>
              <w:t>Engineering Method &amp; Acceptance Gate</w:t>
            </w:r>
          </w:p>
        </w:tc>
      </w:tr>
      <w:tr>
        <w:tc>
          <w:tcPr>
            <w:tcW w:type="dxa" w:w="2520"/>
          </w:tcPr>
          <w:p>
            <w:r>
              <w:rPr>
                <w:b/>
              </w:rPr>
              <w:t>REQ-01</w:t>
            </w:r>
          </w:p>
        </w:tc>
        <w:tc>
          <w:tcPr>
            <w:tcW w:type="dxa" w:w="2520"/>
          </w:tcPr>
          <w:p>
            <w:r>
              <w:t>Rigid Per-Seat Telehealth SaaS &amp; Disconnected Video/Scheduling Tools</w:t>
            </w:r>
          </w:p>
        </w:tc>
        <w:tc>
          <w:tcPr>
            <w:tcW w:type="dxa" w:w="2520"/>
          </w:tcPr>
          <w:p>
            <w:r>
              <w:t>Flutter (iOS/Android/Web) + GCP Cloud Run + Cloud SQL PostgreSQL (FHIR)</w:t>
            </w:r>
          </w:p>
        </w:tc>
        <w:tc>
          <w:tcPr>
            <w:tcW w:type="dxa" w:w="2520"/>
          </w:tcPr>
          <w:p>
            <w:r>
              <w:t>100% client-owned codebase with pluggable Vendor Adapter layer for video, SMS, Stripe, and EHRs</w:t>
            </w:r>
          </w:p>
        </w:tc>
      </w:tr>
      <w:tr>
        <w:tc>
          <w:tcPr>
            <w:tcW w:type="dxa" w:w="2520"/>
          </w:tcPr>
          <w:p>
            <w:r>
              <w:rPr>
                <w:b/>
              </w:rPr>
              <w:t>REQ-02</w:t>
            </w:r>
          </w:p>
        </w:tc>
        <w:tc>
          <w:tcPr>
            <w:tcW w:type="dxa" w:w="2520"/>
          </w:tcPr>
          <w:p>
            <w:r>
              <w:t>Unfiltered RPM Vitals Flooding Nurses + Bluetooth Pairing Dropouts</w:t>
            </w:r>
          </w:p>
        </w:tc>
        <w:tc>
          <w:tcPr>
            <w:tcW w:type="dxa" w:w="2520"/>
          </w:tcPr>
          <w:p>
            <w:r>
              <w:t>Out-of-the-Box Cellular RPM Adapter + 3-Lane Nurse Exception Queue</w:t>
            </w:r>
          </w:p>
        </w:tc>
        <w:tc>
          <w:tcPr>
            <w:tcW w:type="dxa" w:w="2520"/>
          </w:tcPr>
          <w:p>
            <w:r>
              <w:t>Deterministic vital threshold rules sort patients into Needs Attention, Not Reporting, and All Good</w:t>
            </w:r>
          </w:p>
        </w:tc>
      </w:tr>
      <w:tr>
        <w:tc>
          <w:tcPr>
            <w:tcW w:type="dxa" w:w="2520"/>
          </w:tcPr>
          <w:p>
            <w:r>
              <w:rPr>
                <w:b/>
              </w:rPr>
              <w:t>REQ-03</w:t>
            </w:r>
          </w:p>
        </w:tc>
        <w:tc>
          <w:tcPr>
            <w:tcW w:type="dxa" w:w="2520"/>
          </w:tcPr>
          <w:p>
            <w:r>
              <w:t>Uncontrolled AI Chatbots &amp; Leaky Marketing Pixels on Health Portals</w:t>
            </w:r>
          </w:p>
        </w:tc>
        <w:tc>
          <w:tcPr>
            <w:tcW w:type="dxa" w:w="2520"/>
          </w:tcPr>
          <w:p>
            <w:r>
              <w:t>Clinician-Approved Vertex AI Adapter + Isolated Public Marketing CRM</w:t>
            </w:r>
          </w:p>
        </w:tc>
        <w:tc>
          <w:tcPr>
            <w:tcW w:type="dxa" w:w="2520"/>
          </w:tcPr>
          <w:p>
            <w:r>
              <w:t>Mandatory nurse sign-off on all AI summaries; zero ad/tracking pixels inside authenticated PHI apps</w:t>
            </w:r>
          </w:p>
        </w:tc>
      </w:tr>
      <w:tr>
        <w:tc>
          <w:tcPr>
            <w:tcW w:type="dxa" w:w="2520"/>
          </w:tcPr>
          <w:p>
            <w:r>
              <w:rPr>
                <w:b/>
              </w:rPr>
              <w:t>REQ-04</w:t>
            </w:r>
          </w:p>
        </w:tc>
        <w:tc>
          <w:tcPr>
            <w:tcW w:type="dxa" w:w="2520"/>
          </w:tcPr>
          <w:p>
            <w:r>
              <w:t>Single-Cloud Vendor Lock-In for Longitudinal Patient Records</w:t>
            </w:r>
          </w:p>
        </w:tc>
        <w:tc>
          <w:tcPr>
            <w:tcW w:type="dxa" w:w="2520"/>
          </w:tcPr>
          <w:p>
            <w:r>
              <w:t>Nightly Encrypted PostgreSQL + HL7 FHIR R4 Replication to OCI Object Storage</w:t>
            </w:r>
          </w:p>
        </w:tc>
        <w:tc>
          <w:tcPr>
            <w:tcW w:type="dxa" w:w="2520"/>
          </w:tcPr>
          <w:p>
            <w:r>
              <w:t>Dual-cloud BAA disaster recovery (Google Cloud + Oracle Cloud) with open FHIR data portability</w:t>
            </w:r>
          </w:p>
        </w:tc>
      </w:tr>
      <w:tr>
        <w:tc>
          <w:tcPr>
            <w:tcW w:type="dxa" w:w="2520"/>
          </w:tcPr>
          <w:p>
            <w:r>
              <w:rPr>
                <w:b/>
              </w:rPr>
              <w:t>REQ-05</w:t>
            </w:r>
          </w:p>
        </w:tc>
        <w:tc>
          <w:tcPr>
            <w:tcW w:type="dxa" w:w="2520"/>
          </w:tcPr>
          <w:p>
            <w:r>
              <w:t>Desktop / Paper Laboratory Chain-of-Custody &amp; Diagnostic Device Logs</w:t>
            </w:r>
          </w:p>
        </w:tc>
        <w:tc>
          <w:tcPr>
            <w:tcW w:type="dxa" w:w="2520"/>
          </w:tcPr>
          <w:p>
            <w:r>
              <w:t>FDA 21 CFR Part 11 LIMS &amp; Operator Portal on OCI + Oracle APEX 24.2 + AMP</w:t>
            </w:r>
          </w:p>
        </w:tc>
        <w:tc>
          <w:tcPr>
            <w:tcW w:type="dxa" w:w="2520"/>
          </w:tcPr>
          <w:p>
            <w:r>
              <w:t>Kernel-level VPD tenant isolation, cryptographic electronic signatures, and utPLSQL IQ/OQ/PQ tests</w:t>
            </w:r>
          </w:p>
        </w:tc>
      </w:tr>
    </w:tbl>
    <w:p>
      <w:pPr>
        <w:pStyle w:val="Heading2"/>
      </w:pPr>
      <w:r>
        <w:rPr>
          <w:color w:val="B85C28"/>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is your primary architecture stack for HIPAA-compliant telehealth and healthcare applications on Google Cloud (GCP)?   [Evaluator Score: ___ / 10]</w:t>
      </w:r>
    </w:p>
    <w:p>
      <w:pPr>
        <w:pStyle w:val="ListBullet"/>
      </w:pPr>
      <w:r>
        <w:rPr>
          <w:b/>
        </w:rPr>
        <w:t xml:space="preserve">Reference Evaluation Benchmark: </w:t>
      </w:r>
      <w:r>
        <w:t>We use Flutter (single codebase for iOS, Android, and Web on Firebase Hosting) for the client apps, Google Cloud Run (stateless microservices behind clean Vendor Adapter interfaces), Cloud SQL for PostgreSQL (encrypted ACID system of record with HL7 FHIR R4 export), Cloud Firestore (strictly for real-time nurse triage queue state), Google Cloud Identity Platform with mandatory MFA, Vertex AI (with a mandatory nurse approval gate), and nightly cross-cloud backup replication to OCI Object Storage under dual GCP and Oracle HIPAA BAAs.</w:t>
      </w:r>
    </w:p>
    <w:p>
      <w:pPr>
        <w:pStyle w:val="ListBullet"/>
      </w:pPr>
      <w:r>
        <w:rPr>
          <w:b/>
        </w:rPr>
        <w:t xml:space="preserve">Vendor Written Response: </w:t>
      </w:r>
      <w:r>
        <w:t>[Bidder to insert concrete technical architecture and verifiable production proof here]</w:t>
      </w:r>
    </w:p>
    <w:p>
      <w:r>
        <w:rPr>
          <w:b/>
        </w:rPr>
        <w:t>Vendor Question 2: How do you prevent AI hallucinations from reaching telehealth patients?   [Evaluator Score: ___ / 10]</w:t>
      </w:r>
    </w:p>
    <w:p>
      <w:pPr>
        <w:pStyle w:val="ListBullet"/>
      </w:pPr>
      <w:r>
        <w:rPr>
          <w:b/>
        </w:rPr>
        <w:t xml:space="preserve">Reference Evaluation Benchmark: </w:t>
      </w:r>
      <w:r>
        <w:t>All clinical alerting and vital-sign triage is driven 100% by deterministic, clinician-configured threshold rules. Vertex AI is used strictly as an internal copilot to draft weekly trend summaries and nurse prep notes, and the database schema enforces a hard `approved_by_nurse_id` check before any summary can be published to a patient or family member.</w:t>
      </w:r>
    </w:p>
    <w:p>
      <w:pPr>
        <w:pStyle w:val="ListBullet"/>
      </w:pPr>
      <w:r>
        <w:rPr>
          <w:b/>
        </w:rPr>
        <w:t xml:space="preserve">Vendor Written Response: </w:t>
      </w:r>
      <w:r>
        <w:t>[Bidder to insert concrete technical architecture and verifiable production proof here]</w:t>
      </w:r>
    </w:p>
    <w:p>
      <w:r>
        <w:rPr>
          <w:b/>
        </w:rPr>
        <w:t>Vendor Question 3: How do you handle FDA 21 CFR Part 11 and ISO-17025 compliance for LIMS and medical device portals?   [Evaluator Score: ___ / 10]</w:t>
      </w:r>
    </w:p>
    <w:p>
      <w:pPr>
        <w:pStyle w:val="ListBullet"/>
      </w:pPr>
      <w:r>
        <w:rPr>
          <w:b/>
        </w:rPr>
        <w:t xml:space="preserve">Reference Evaluation Benchmark: </w:t>
      </w:r>
      <w:r>
        <w:t>For laboratory and medical device portals on OCI and Oracle APEX 24.2, we deploy Viscosity AMP on Day 1 to provide pre-built multi-tenant RBAC, immutable cryptographic audit trails, electronic signature re-authentication, and automated `utPLSQL` + Playwright validation test suites.</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B85C28"/>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D2218"/>
          </w:tcPr>
          <w:p>
            <w:r>
              <w:rPr>
                <w:b/>
                <w:color w:val="FFFFFF"/>
                <w:sz w:val="19"/>
              </w:rPr>
              <w:t>Milestone / Phase</w:t>
            </w:r>
          </w:p>
        </w:tc>
        <w:tc>
          <w:tcPr>
            <w:tcW w:type="dxa" w:w="2520"/>
            <w:shd w:val="clear" w:color="auto" w:fill="2D2218"/>
          </w:tcPr>
          <w:p>
            <w:r>
              <w:rPr>
                <w:b/>
                <w:color w:val="FFFFFF"/>
                <w:sz w:val="19"/>
              </w:rPr>
              <w:t>Deliverable &amp; Acceptance Gate</w:t>
            </w:r>
          </w:p>
        </w:tc>
        <w:tc>
          <w:tcPr>
            <w:tcW w:type="dxa" w:w="2520"/>
            <w:shd w:val="clear" w:color="auto" w:fill="2D2218"/>
          </w:tcPr>
          <w:p>
            <w:r>
              <w:rPr>
                <w:b/>
                <w:color w:val="FFFFFF"/>
                <w:sz w:val="19"/>
              </w:rPr>
              <w:t>Fixed Fee (USD)</w:t>
            </w:r>
          </w:p>
        </w:tc>
        <w:tc>
          <w:tcPr>
            <w:tcW w:type="dxa" w:w="2520"/>
            <w:shd w:val="clear" w:color="auto" w:fill="2D2218"/>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(VNA-RFP-022)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VNA-RFP-022  |  https://lims-medical-device-cloud-portal.web.app/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